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2B0E" w:rsidRPr="006D2B0E" w:rsidRDefault="006D2B0E" w:rsidP="006D2B0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pPr w:leftFromText="180" w:rightFromText="180" w:vertAnchor="page" w:horzAnchor="margin" w:tblpY="1216"/>
        <w:tblW w:w="9639" w:type="dxa"/>
        <w:tblLook w:val="01E0" w:firstRow="1" w:lastRow="1" w:firstColumn="1" w:lastColumn="1" w:noHBand="0" w:noVBand="0"/>
      </w:tblPr>
      <w:tblGrid>
        <w:gridCol w:w="9639"/>
      </w:tblGrid>
      <w:tr w:rsidR="006D2B0E" w:rsidRPr="006D2B0E" w:rsidTr="00362C3C">
        <w:trPr>
          <w:trHeight w:val="1307"/>
        </w:trPr>
        <w:tc>
          <w:tcPr>
            <w:tcW w:w="9639" w:type="dxa"/>
          </w:tcPr>
          <w:p w:rsidR="006D2B0E" w:rsidRPr="006D2B0E" w:rsidRDefault="006D2B0E" w:rsidP="006D2B0E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6D2B0E">
              <w:rPr>
                <w:rFonts w:ascii="Times New Roman" w:eastAsia="Times New Roman" w:hAnsi="Times New Roman" w:cs="Times New Roman"/>
                <w:noProof/>
                <w:sz w:val="28"/>
                <w:szCs w:val="24"/>
                <w:lang w:eastAsia="ru-RU"/>
              </w:rPr>
              <w:drawing>
                <wp:inline distT="0" distB="0" distL="0" distR="0" wp14:anchorId="14D800CC" wp14:editId="3DA34057">
                  <wp:extent cx="1080770" cy="1000125"/>
                  <wp:effectExtent l="0" t="0" r="5080" b="9525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0770" cy="10001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D2B0E" w:rsidRPr="006D2B0E" w:rsidTr="00362C3C">
        <w:trPr>
          <w:trHeight w:val="284"/>
        </w:trPr>
        <w:tc>
          <w:tcPr>
            <w:tcW w:w="9639" w:type="dxa"/>
          </w:tcPr>
          <w:p w:rsidR="006D2B0E" w:rsidRPr="006D2B0E" w:rsidRDefault="006D2B0E" w:rsidP="006D2B0E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30"/>
                <w:szCs w:val="30"/>
                <w:lang w:eastAsia="ru-RU"/>
              </w:rPr>
            </w:pPr>
            <w:r w:rsidRPr="006D2B0E">
              <w:rPr>
                <w:rFonts w:ascii="Bookman Old Style" w:eastAsia="Times New Roman" w:hAnsi="Bookman Old Style" w:cs="Times New Roman"/>
                <w:sz w:val="30"/>
                <w:szCs w:val="30"/>
                <w:lang w:eastAsia="ru-RU"/>
              </w:rPr>
              <w:t>ГОРОДСКАЯ ДУМА</w:t>
            </w:r>
          </w:p>
        </w:tc>
      </w:tr>
      <w:tr w:rsidR="006D2B0E" w:rsidRPr="006D2B0E" w:rsidTr="00362C3C">
        <w:trPr>
          <w:trHeight w:val="284"/>
        </w:trPr>
        <w:tc>
          <w:tcPr>
            <w:tcW w:w="9639" w:type="dxa"/>
          </w:tcPr>
          <w:p w:rsidR="006D2B0E" w:rsidRPr="006D2B0E" w:rsidRDefault="006D2B0E" w:rsidP="006D2B0E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30"/>
                <w:szCs w:val="30"/>
                <w:lang w:eastAsia="ru-RU"/>
              </w:rPr>
            </w:pPr>
            <w:r w:rsidRPr="006D2B0E">
              <w:rPr>
                <w:rFonts w:ascii="Bookman Old Style" w:eastAsia="Times New Roman" w:hAnsi="Bookman Old Style" w:cs="Times New Roman"/>
                <w:sz w:val="30"/>
                <w:szCs w:val="30"/>
                <w:lang w:eastAsia="ru-RU"/>
              </w:rPr>
              <w:t>ПЕТРОПАВЛОВСК-КАМЧАТСКОГО ГОРОДСКОГО ОКРУГА</w:t>
            </w:r>
          </w:p>
        </w:tc>
      </w:tr>
      <w:tr w:rsidR="006D2B0E" w:rsidRPr="006D2B0E" w:rsidTr="00362C3C">
        <w:trPr>
          <w:trHeight w:val="118"/>
        </w:trPr>
        <w:tc>
          <w:tcPr>
            <w:tcW w:w="9639" w:type="dxa"/>
          </w:tcPr>
          <w:p w:rsidR="006D2B0E" w:rsidRPr="006D2B0E" w:rsidRDefault="006D2B0E" w:rsidP="006D2B0E">
            <w:pPr>
              <w:spacing w:after="0" w:line="240" w:lineRule="auto"/>
              <w:ind w:right="-108" w:firstLine="142"/>
              <w:jc w:val="center"/>
              <w:rPr>
                <w:rFonts w:ascii="Bookman Old Style" w:eastAsia="Times New Roman" w:hAnsi="Bookman Old Style" w:cs="Times New Roman"/>
                <w:sz w:val="16"/>
                <w:szCs w:val="16"/>
                <w:lang w:eastAsia="ru-RU"/>
              </w:rPr>
            </w:pPr>
            <w:r w:rsidRPr="006D2B0E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AE82638" wp14:editId="770EF94C">
                      <wp:simplePos x="0" y="0"/>
                      <wp:positionH relativeFrom="column">
                        <wp:posOffset>-74827</wp:posOffset>
                      </wp:positionH>
                      <wp:positionV relativeFrom="page">
                        <wp:posOffset>79050</wp:posOffset>
                      </wp:positionV>
                      <wp:extent cx="6106190" cy="0"/>
                      <wp:effectExtent l="0" t="19050" r="46990" b="38100"/>
                      <wp:wrapNone/>
                      <wp:docPr id="8" name="Lin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06190" cy="0"/>
                              </a:xfrm>
                              <a:prstGeom prst="line">
                                <a:avLst/>
                              </a:prstGeom>
                              <a:noFill/>
                              <a:ln w="63500" cmpd="thinThick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7C88AD7" id="Line 8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5.9pt,6.2pt" to="474.9pt,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" strokeweight="5pt">
                      <v:stroke linestyle="thinThick"/>
                      <w10:wrap anchory="page"/>
                    </v:line>
                  </w:pict>
                </mc:Fallback>
              </mc:AlternateContent>
            </w:r>
          </w:p>
        </w:tc>
      </w:tr>
    </w:tbl>
    <w:p w:rsidR="006D2B0E" w:rsidRPr="006D2B0E" w:rsidRDefault="006D2B0E" w:rsidP="006D2B0E">
      <w:pPr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6D2B0E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РЕШЕНИЕ</w:t>
      </w:r>
    </w:p>
    <w:p w:rsidR="006D2B0E" w:rsidRPr="006D2B0E" w:rsidRDefault="006D2B0E" w:rsidP="006D2B0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2B0E" w:rsidRPr="006D2B0E" w:rsidRDefault="00FC2A34" w:rsidP="006D2B0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BC7DA7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BC7DA7">
        <w:rPr>
          <w:rFonts w:ascii="Times New Roman" w:eastAsia="Times New Roman" w:hAnsi="Times New Roman" w:cs="Times New Roman"/>
          <w:sz w:val="28"/>
          <w:szCs w:val="28"/>
          <w:lang w:eastAsia="ru-RU"/>
        </w:rPr>
        <w:t>04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BC7DA7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E6352A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C2278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6D2B0E" w:rsidRPr="006D2B0E">
        <w:rPr>
          <w:rFonts w:ascii="Times New Roman" w:eastAsia="Times New Roman" w:hAnsi="Times New Roman" w:cs="Times New Roman"/>
          <w:sz w:val="28"/>
          <w:szCs w:val="28"/>
          <w:lang w:eastAsia="ru-RU"/>
        </w:rPr>
        <w:t>-нд</w:t>
      </w:r>
    </w:p>
    <w:p w:rsidR="006D2B0E" w:rsidRPr="006D2B0E" w:rsidRDefault="006D2B0E" w:rsidP="000D6CE4">
      <w:pPr>
        <w:spacing w:after="0" w:line="240" w:lineRule="auto"/>
        <w:ind w:right="-14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2782" w:rsidRPr="00C22782" w:rsidRDefault="00C22782" w:rsidP="00C2278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227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внесении изменений в Решение Городской Думы Петропавловск-Камчатского городского округа от 20.09.2012 № 533-нд </w:t>
      </w:r>
    </w:p>
    <w:p w:rsidR="00BC7DA7" w:rsidRPr="00BC7DA7" w:rsidRDefault="00C22782" w:rsidP="00C2278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227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«О размерах и условиях оплаты труда муниципальных служащих Петропавловск-Камчатского городского округа»</w:t>
      </w:r>
    </w:p>
    <w:p w:rsidR="00FC2A34" w:rsidRPr="000D6CE4" w:rsidRDefault="00FC2A34" w:rsidP="006D2B0E">
      <w:pPr>
        <w:spacing w:after="0" w:line="240" w:lineRule="auto"/>
        <w:ind w:right="-14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2B0E" w:rsidRPr="006D2B0E" w:rsidRDefault="006D2B0E" w:rsidP="006D2B0E">
      <w:pPr>
        <w:spacing w:after="0" w:line="240" w:lineRule="auto"/>
        <w:ind w:right="-143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D2B0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Принято Городской Думой Петропавловск-Камчатского городского округа</w:t>
      </w:r>
    </w:p>
    <w:p w:rsidR="006D2B0E" w:rsidRPr="006D2B0E" w:rsidRDefault="006D2B0E" w:rsidP="006D2B0E">
      <w:pPr>
        <w:spacing w:after="0" w:line="240" w:lineRule="auto"/>
        <w:ind w:right="-143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D2B0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(решение от </w:t>
      </w:r>
      <w:r w:rsidR="00BC7DA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12</w:t>
      </w:r>
      <w:r w:rsidR="000D6CE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  <w:r w:rsidR="00BC7DA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.202</w:t>
      </w:r>
      <w:r w:rsidR="00BC7DA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6D2B0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№ </w:t>
      </w:r>
      <w:r w:rsidR="00BC7DA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1</w:t>
      </w:r>
      <w:r w:rsidR="00E6352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2</w:t>
      </w:r>
      <w:r w:rsidR="005A641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1</w:t>
      </w:r>
      <w:r w:rsidRPr="006D2B0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-р)</w:t>
      </w:r>
    </w:p>
    <w:p w:rsidR="006D2B0E" w:rsidRPr="006D2B0E" w:rsidRDefault="006D2B0E" w:rsidP="005C3097">
      <w:pPr>
        <w:autoSpaceDE w:val="0"/>
        <w:autoSpaceDN w:val="0"/>
        <w:adjustRightInd w:val="0"/>
        <w:spacing w:after="0" w:line="240" w:lineRule="auto"/>
        <w:ind w:right="-14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7DA7" w:rsidRPr="00BC7DA7" w:rsidRDefault="00FC2A34" w:rsidP="003D7B1D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BC7DA7" w:rsidRPr="00BC7DA7">
        <w:rPr>
          <w:rFonts w:ascii="Times New Roman" w:hAnsi="Times New Roman" w:cs="Times New Roman"/>
          <w:sz w:val="28"/>
          <w:szCs w:val="28"/>
        </w:rPr>
        <w:t xml:space="preserve">В </w:t>
      </w:r>
      <w:r w:rsidR="005A641C">
        <w:rPr>
          <w:rFonts w:ascii="Times New Roman" w:hAnsi="Times New Roman" w:cs="Times New Roman"/>
          <w:sz w:val="28"/>
          <w:szCs w:val="28"/>
        </w:rPr>
        <w:t xml:space="preserve">статье 2: </w:t>
      </w:r>
    </w:p>
    <w:p w:rsidR="00BC7DA7" w:rsidRPr="00BC7DA7" w:rsidRDefault="00BC7DA7" w:rsidP="00BC7DA7">
      <w:pPr>
        <w:pStyle w:val="ConsPlusNormal"/>
        <w:contextualSpacing/>
        <w:rPr>
          <w:rFonts w:ascii="Times New Roman" w:hAnsi="Times New Roman" w:cs="Times New Roman"/>
          <w:sz w:val="28"/>
          <w:szCs w:val="28"/>
        </w:rPr>
      </w:pPr>
      <w:r w:rsidRPr="00BC7DA7">
        <w:rPr>
          <w:rFonts w:ascii="Times New Roman" w:hAnsi="Times New Roman" w:cs="Times New Roman"/>
          <w:sz w:val="28"/>
          <w:szCs w:val="28"/>
        </w:rPr>
        <w:t xml:space="preserve">1) </w:t>
      </w:r>
      <w:r w:rsidR="005A641C">
        <w:rPr>
          <w:rFonts w:ascii="Times New Roman" w:hAnsi="Times New Roman" w:cs="Times New Roman"/>
          <w:sz w:val="28"/>
          <w:szCs w:val="28"/>
        </w:rPr>
        <w:t xml:space="preserve">часть 3 </w:t>
      </w:r>
      <w:r w:rsidR="005A641C" w:rsidRPr="005A641C">
        <w:rPr>
          <w:rFonts w:ascii="Times New Roman" w:hAnsi="Times New Roman" w:cs="Times New Roman"/>
          <w:sz w:val="28"/>
          <w:szCs w:val="28"/>
        </w:rPr>
        <w:t>изложить в следующей</w:t>
      </w:r>
      <w:r w:rsidR="005A641C" w:rsidRPr="005A641C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5A641C" w:rsidRPr="005A641C">
        <w:rPr>
          <w:rFonts w:ascii="Times New Roman" w:hAnsi="Times New Roman" w:cs="Times New Roman"/>
          <w:sz w:val="28"/>
          <w:szCs w:val="28"/>
        </w:rPr>
        <w:t>редакции:</w:t>
      </w:r>
    </w:p>
    <w:p w:rsidR="005A641C" w:rsidRPr="005A641C" w:rsidRDefault="005A641C" w:rsidP="005A64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«3. </w:t>
      </w:r>
      <w:r w:rsidRPr="005A641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формирования фонда оплаты труда муниципальных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A6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служащих (далее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Pr="005A6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Порядок формирования фонда оплаты труда), предусматривающий количество должностных окладов (в расчете на год) для определения суммы средств, направляемых на осуществление выплат, установленных частью 1 настоящей статьи, устанавливается постановлением органа местного самоуправления, осуществляющего бюджетный процесс в Петропавловск-Камчатском городском округе </w:t>
      </w:r>
      <w:r w:rsidR="00E95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Pr="005A6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администрацией Петропавловск-Камчатского городского округа по согласованию с </w:t>
      </w:r>
      <w:r w:rsidR="00E95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председателем </w:t>
      </w:r>
      <w:r w:rsidRPr="005A641C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Городской Дум</w:t>
      </w:r>
      <w:r w:rsidR="00E95262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5A6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Петропавловск-Камчатского городского округа.»;</w:t>
      </w:r>
    </w:p>
    <w:p w:rsidR="00BC7DA7" w:rsidRDefault="00BC7DA7" w:rsidP="00BC7DA7">
      <w:pPr>
        <w:pStyle w:val="ConsPlusNormal"/>
        <w:contextualSpacing/>
        <w:rPr>
          <w:rFonts w:ascii="Times New Roman" w:hAnsi="Times New Roman" w:cs="Times New Roman"/>
          <w:sz w:val="28"/>
          <w:szCs w:val="28"/>
        </w:rPr>
      </w:pPr>
      <w:r w:rsidRPr="00BC7DA7">
        <w:rPr>
          <w:rFonts w:ascii="Times New Roman" w:hAnsi="Times New Roman" w:cs="Times New Roman"/>
          <w:sz w:val="28"/>
          <w:szCs w:val="28"/>
        </w:rPr>
        <w:t xml:space="preserve">2) </w:t>
      </w:r>
      <w:r w:rsidR="00E95262" w:rsidRPr="00E95262">
        <w:rPr>
          <w:rFonts w:ascii="Times New Roman" w:hAnsi="Times New Roman" w:cs="Times New Roman"/>
          <w:sz w:val="28"/>
          <w:szCs w:val="28"/>
        </w:rPr>
        <w:t>часть 5 изложить в следующей редакции:</w:t>
      </w:r>
    </w:p>
    <w:p w:rsidR="00E95262" w:rsidRPr="00BC7DA7" w:rsidRDefault="00E95262" w:rsidP="00E95262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«5. </w:t>
      </w:r>
      <w:r w:rsidRPr="00E95262">
        <w:rPr>
          <w:rFonts w:ascii="Times New Roman" w:hAnsi="Times New Roman" w:cs="Times New Roman"/>
          <w:sz w:val="28"/>
          <w:szCs w:val="28"/>
        </w:rPr>
        <w:t xml:space="preserve">Представитель нанимателя </w:t>
      </w:r>
      <w:r w:rsidR="00B11880">
        <w:rPr>
          <w:rFonts w:ascii="Times New Roman" w:hAnsi="Times New Roman" w:cs="Times New Roman"/>
          <w:sz w:val="28"/>
          <w:szCs w:val="28"/>
        </w:rPr>
        <w:t>–</w:t>
      </w:r>
      <w:r w:rsidRPr="00E95262">
        <w:rPr>
          <w:rFonts w:ascii="Times New Roman" w:hAnsi="Times New Roman" w:cs="Times New Roman"/>
          <w:sz w:val="28"/>
          <w:szCs w:val="28"/>
        </w:rPr>
        <w:t xml:space="preserve"> руководитель соответствующего органа местного самоуправления, руководитель самостоятельного органа администрации Петропавловск-Камчатского городского округа (далее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E95262">
        <w:rPr>
          <w:rFonts w:ascii="Times New Roman" w:hAnsi="Times New Roman" w:cs="Times New Roman"/>
          <w:sz w:val="28"/>
          <w:szCs w:val="28"/>
        </w:rPr>
        <w:t>представитель нанимателя), вправе перераспределять средства фонда оплаты труда муниципальных служащих между выплатами, предусмотренными Порядком формирования фонда оплаты труда.».</w:t>
      </w:r>
    </w:p>
    <w:p w:rsidR="00E95262" w:rsidRDefault="00FC2A34" w:rsidP="00FC2A34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E95262">
        <w:rPr>
          <w:rFonts w:ascii="Times New Roman" w:hAnsi="Times New Roman" w:cs="Times New Roman"/>
          <w:sz w:val="28"/>
          <w:szCs w:val="28"/>
        </w:rPr>
        <w:t xml:space="preserve">Абзац </w:t>
      </w:r>
      <w:r w:rsidR="00E95262" w:rsidRPr="00E95262">
        <w:rPr>
          <w:rFonts w:ascii="Times New Roman" w:hAnsi="Times New Roman" w:cs="Times New Roman"/>
          <w:sz w:val="28"/>
          <w:szCs w:val="28"/>
        </w:rPr>
        <w:t>второй статьи 3 изложить в следующей редакции:</w:t>
      </w:r>
    </w:p>
    <w:p w:rsidR="00E95262" w:rsidRDefault="00E95262" w:rsidP="00E95262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«Размеры </w:t>
      </w:r>
      <w:r w:rsidRPr="00E95262">
        <w:rPr>
          <w:rFonts w:ascii="Times New Roman" w:hAnsi="Times New Roman" w:cs="Times New Roman"/>
          <w:sz w:val="28"/>
          <w:szCs w:val="28"/>
        </w:rPr>
        <w:t>должностных окладов муниципальных служащих ежегодно увеличиваются (индексируются) в соответствии с решением о бюджете Петропавловск-Камчатского городского округа на соответствующий финансовый год и плановый период с учетом уровня инфляции (потребительских цен).».</w:t>
      </w:r>
    </w:p>
    <w:p w:rsidR="00A27C6C" w:rsidRPr="00E153A9" w:rsidRDefault="00A27C6C" w:rsidP="00A27C6C">
      <w:pPr>
        <w:pStyle w:val="ConsPlusNormal"/>
        <w:spacing w:line="360" w:lineRule="auto"/>
        <w:ind w:firstLine="0"/>
        <w:contextualSpacing/>
        <w:jc w:val="center"/>
        <w:rPr>
          <w:rFonts w:ascii="Times New Roman" w:hAnsi="Times New Roman" w:cs="Times New Roman"/>
          <w:color w:val="3B3838" w:themeColor="background2" w:themeShade="40"/>
        </w:rPr>
      </w:pPr>
      <w:r w:rsidRPr="00E153A9">
        <w:rPr>
          <w:rFonts w:ascii="Times New Roman" w:hAnsi="Times New Roman" w:cs="Times New Roman"/>
          <w:color w:val="3B3838" w:themeColor="background2" w:themeShade="40"/>
        </w:rPr>
        <w:lastRenderedPageBreak/>
        <w:t>2</w:t>
      </w:r>
    </w:p>
    <w:p w:rsidR="00E95262" w:rsidRDefault="00E95262" w:rsidP="00E95262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В части </w:t>
      </w:r>
      <w:r w:rsidRPr="00E95262">
        <w:rPr>
          <w:rFonts w:ascii="Times New Roman" w:hAnsi="Times New Roman" w:cs="Times New Roman"/>
          <w:sz w:val="28"/>
          <w:szCs w:val="28"/>
        </w:rPr>
        <w:t>4 статьи 8 слова «в соответствии с частью 3 статьи 2 настоящего Решения» заменить словами «в соответствии с Порядком формирования фонда оплаты труда».</w:t>
      </w:r>
    </w:p>
    <w:p w:rsidR="00E95262" w:rsidRDefault="00E95262" w:rsidP="00E95262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В части </w:t>
      </w:r>
      <w:r w:rsidRPr="00E95262">
        <w:rPr>
          <w:rFonts w:ascii="Times New Roman" w:hAnsi="Times New Roman" w:cs="Times New Roman"/>
          <w:sz w:val="28"/>
          <w:szCs w:val="28"/>
        </w:rPr>
        <w:t>1 статьи 10 слова «в соответствии с частью 3 статьи 2 настоящего Решения» заменить словами «в соответствии с Порядком формирования фонда оплаты труда».</w:t>
      </w:r>
    </w:p>
    <w:p w:rsidR="00E95262" w:rsidRPr="00E95262" w:rsidRDefault="00E95262" w:rsidP="00E95262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Приложение </w:t>
      </w:r>
      <w:r w:rsidRPr="00E95262">
        <w:rPr>
          <w:rFonts w:ascii="Times New Roman" w:hAnsi="Times New Roman" w:cs="Times New Roman"/>
          <w:sz w:val="28"/>
          <w:szCs w:val="28"/>
        </w:rPr>
        <w:t xml:space="preserve">2 изложить в редакции согласно </w:t>
      </w:r>
      <w:proofErr w:type="gramStart"/>
      <w:r w:rsidRPr="00E95262">
        <w:rPr>
          <w:rFonts w:ascii="Times New Roman" w:hAnsi="Times New Roman" w:cs="Times New Roman"/>
          <w:sz w:val="28"/>
          <w:szCs w:val="28"/>
        </w:rPr>
        <w:t>приложению</w:t>
      </w:r>
      <w:proofErr w:type="gramEnd"/>
      <w:r w:rsidRPr="00E95262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FC2A34" w:rsidRDefault="00E95262" w:rsidP="00FC2A34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="00FC2A34" w:rsidRPr="00D90CAB">
        <w:rPr>
          <w:rFonts w:ascii="Times New Roman" w:hAnsi="Times New Roman" w:cs="Times New Roman"/>
          <w:sz w:val="28"/>
          <w:szCs w:val="28"/>
        </w:rPr>
        <w:t>Настоящее Решение вступает в силу после дня</w:t>
      </w:r>
      <w:r w:rsidR="00FC2A34">
        <w:rPr>
          <w:rFonts w:ascii="Times New Roman" w:hAnsi="Times New Roman" w:cs="Times New Roman"/>
          <w:sz w:val="28"/>
          <w:szCs w:val="28"/>
        </w:rPr>
        <w:t xml:space="preserve"> его официального опубликования</w:t>
      </w:r>
      <w:r>
        <w:rPr>
          <w:rFonts w:ascii="Times New Roman" w:hAnsi="Times New Roman" w:cs="Times New Roman"/>
          <w:sz w:val="28"/>
          <w:szCs w:val="28"/>
        </w:rPr>
        <w:t xml:space="preserve"> и распространяется на отношения, возникшие с 01.04.2023</w:t>
      </w:r>
      <w:r w:rsidR="00FC2A34">
        <w:rPr>
          <w:rFonts w:ascii="Times New Roman" w:hAnsi="Times New Roman" w:cs="Times New Roman"/>
          <w:sz w:val="28"/>
          <w:szCs w:val="28"/>
        </w:rPr>
        <w:t>.</w:t>
      </w:r>
    </w:p>
    <w:p w:rsidR="006D2B0E" w:rsidRDefault="006D2B0E" w:rsidP="006D2B0E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D6CE4" w:rsidRPr="000D6CE4" w:rsidRDefault="000D6CE4" w:rsidP="000D6C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923" w:type="dxa"/>
        <w:tblInd w:w="-284" w:type="dxa"/>
        <w:tblLook w:val="01E0" w:firstRow="1" w:lastRow="1" w:firstColumn="1" w:lastColumn="1" w:noHBand="0" w:noVBand="0"/>
      </w:tblPr>
      <w:tblGrid>
        <w:gridCol w:w="4928"/>
        <w:gridCol w:w="2430"/>
        <w:gridCol w:w="2565"/>
      </w:tblGrid>
      <w:tr w:rsidR="000D6CE4" w:rsidRPr="000D6CE4" w:rsidTr="003D7B1D">
        <w:trPr>
          <w:trHeight w:val="857"/>
        </w:trPr>
        <w:tc>
          <w:tcPr>
            <w:tcW w:w="4928" w:type="dxa"/>
          </w:tcPr>
          <w:p w:rsidR="00BC7DA7" w:rsidRDefault="000D6CE4" w:rsidP="00BC7DA7">
            <w:pPr>
              <w:spacing w:after="0" w:line="240" w:lineRule="auto"/>
              <w:ind w:left="18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6C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</w:t>
            </w:r>
            <w:r w:rsidR="00BC7D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0D6C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0D6CE4" w:rsidRPr="000D6CE4" w:rsidRDefault="000D6CE4" w:rsidP="00BC7DA7">
            <w:pPr>
              <w:spacing w:after="0" w:line="240" w:lineRule="auto"/>
              <w:ind w:left="18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6C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Петропавловск-Камчатского городского округа</w:t>
            </w:r>
          </w:p>
        </w:tc>
        <w:tc>
          <w:tcPr>
            <w:tcW w:w="2430" w:type="dxa"/>
          </w:tcPr>
          <w:p w:rsidR="000D6CE4" w:rsidRPr="000D6CE4" w:rsidRDefault="000D6CE4" w:rsidP="000D6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65" w:type="dxa"/>
          </w:tcPr>
          <w:p w:rsidR="000D6CE4" w:rsidRPr="000D6CE4" w:rsidRDefault="000D6CE4" w:rsidP="000D6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C7DA7" w:rsidRDefault="00BC7DA7" w:rsidP="00BC7DA7">
            <w:pPr>
              <w:tabs>
                <w:tab w:val="left" w:pos="228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D6CE4" w:rsidRPr="000D6CE4" w:rsidRDefault="003D7B1D" w:rsidP="007433E9">
            <w:pPr>
              <w:spacing w:after="0" w:line="240" w:lineRule="auto"/>
              <w:ind w:left="708" w:right="-11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r w:rsidR="00BC7D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="000D6CE4" w:rsidRPr="000D6C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BC7D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="000D6CE4" w:rsidRPr="000D6C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="00BC7D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Брызгин</w:t>
            </w:r>
            <w:proofErr w:type="spellEnd"/>
          </w:p>
        </w:tc>
      </w:tr>
    </w:tbl>
    <w:p w:rsidR="00997D34" w:rsidRDefault="00997D34" w:rsidP="006D2B0E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D2B0E" w:rsidRDefault="006D2B0E" w:rsidP="008D691C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0" w:name="_GoBack"/>
      <w:bookmarkEnd w:id="0"/>
    </w:p>
    <w:sectPr w:rsidR="006D2B0E" w:rsidSect="00BC7DA7">
      <w:headerReference w:type="first" r:id="rId9"/>
      <w:pgSz w:w="11906" w:h="16838"/>
      <w:pgMar w:top="1134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5B50" w:rsidRDefault="00BA5B50" w:rsidP="00B97BBF">
      <w:pPr>
        <w:spacing w:after="0" w:line="240" w:lineRule="auto"/>
      </w:pPr>
      <w:r>
        <w:separator/>
      </w:r>
    </w:p>
  </w:endnote>
  <w:endnote w:type="continuationSeparator" w:id="0">
    <w:p w:rsidR="00BA5B50" w:rsidRDefault="00BA5B50" w:rsidP="00B97B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5B50" w:rsidRDefault="00BA5B50" w:rsidP="00B97BBF">
      <w:pPr>
        <w:spacing w:after="0" w:line="240" w:lineRule="auto"/>
      </w:pPr>
      <w:r>
        <w:separator/>
      </w:r>
    </w:p>
  </w:footnote>
  <w:footnote w:type="continuationSeparator" w:id="0">
    <w:p w:rsidR="00BA5B50" w:rsidRDefault="00BA5B50" w:rsidP="00B97B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21C1" w:rsidRDefault="00E821C1">
    <w:pPr>
      <w:pStyle w:val="a3"/>
      <w:jc w:val="center"/>
    </w:pPr>
  </w:p>
  <w:p w:rsidR="00E821C1" w:rsidRDefault="00E821C1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8507B4"/>
    <w:multiLevelType w:val="hybridMultilevel"/>
    <w:tmpl w:val="FEC0B950"/>
    <w:lvl w:ilvl="0" w:tplc="04E4DD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1A9B"/>
    <w:rsid w:val="000205A4"/>
    <w:rsid w:val="00021576"/>
    <w:rsid w:val="000223C5"/>
    <w:rsid w:val="00053617"/>
    <w:rsid w:val="000A11A9"/>
    <w:rsid w:val="000A26AE"/>
    <w:rsid w:val="000A3C55"/>
    <w:rsid w:val="000D6CE4"/>
    <w:rsid w:val="00121A9B"/>
    <w:rsid w:val="00132FCD"/>
    <w:rsid w:val="0016304C"/>
    <w:rsid w:val="00163BD5"/>
    <w:rsid w:val="00180AFC"/>
    <w:rsid w:val="00190C8F"/>
    <w:rsid w:val="001A20FC"/>
    <w:rsid w:val="001E5691"/>
    <w:rsid w:val="00212090"/>
    <w:rsid w:val="00246788"/>
    <w:rsid w:val="00281565"/>
    <w:rsid w:val="002B7094"/>
    <w:rsid w:val="002D235D"/>
    <w:rsid w:val="00310485"/>
    <w:rsid w:val="00323F77"/>
    <w:rsid w:val="00355AD2"/>
    <w:rsid w:val="00385760"/>
    <w:rsid w:val="00386C70"/>
    <w:rsid w:val="0039442A"/>
    <w:rsid w:val="003B19B0"/>
    <w:rsid w:val="003D7B1D"/>
    <w:rsid w:val="003E3FCF"/>
    <w:rsid w:val="003F19E4"/>
    <w:rsid w:val="00401F29"/>
    <w:rsid w:val="004E353C"/>
    <w:rsid w:val="00506429"/>
    <w:rsid w:val="00512B00"/>
    <w:rsid w:val="00525167"/>
    <w:rsid w:val="00550493"/>
    <w:rsid w:val="00555269"/>
    <w:rsid w:val="005A6131"/>
    <w:rsid w:val="005A641C"/>
    <w:rsid w:val="005B34E1"/>
    <w:rsid w:val="005C3097"/>
    <w:rsid w:val="005E3EF1"/>
    <w:rsid w:val="005F34C1"/>
    <w:rsid w:val="00662336"/>
    <w:rsid w:val="00666626"/>
    <w:rsid w:val="0068754D"/>
    <w:rsid w:val="006A6B9A"/>
    <w:rsid w:val="006D2B0E"/>
    <w:rsid w:val="006E0A96"/>
    <w:rsid w:val="007133AD"/>
    <w:rsid w:val="00714319"/>
    <w:rsid w:val="007433E9"/>
    <w:rsid w:val="00753104"/>
    <w:rsid w:val="007574D5"/>
    <w:rsid w:val="007577AA"/>
    <w:rsid w:val="007614DA"/>
    <w:rsid w:val="0076363A"/>
    <w:rsid w:val="007767DD"/>
    <w:rsid w:val="00783590"/>
    <w:rsid w:val="00874101"/>
    <w:rsid w:val="008A5A69"/>
    <w:rsid w:val="008B1137"/>
    <w:rsid w:val="008C04F8"/>
    <w:rsid w:val="008D5807"/>
    <w:rsid w:val="008D691C"/>
    <w:rsid w:val="008E10FD"/>
    <w:rsid w:val="0093130D"/>
    <w:rsid w:val="00946614"/>
    <w:rsid w:val="00985A6B"/>
    <w:rsid w:val="00992FCA"/>
    <w:rsid w:val="00997D34"/>
    <w:rsid w:val="009B5E64"/>
    <w:rsid w:val="00A03476"/>
    <w:rsid w:val="00A22644"/>
    <w:rsid w:val="00A27C6C"/>
    <w:rsid w:val="00A61E5E"/>
    <w:rsid w:val="00A97251"/>
    <w:rsid w:val="00AA5647"/>
    <w:rsid w:val="00AA63FC"/>
    <w:rsid w:val="00AF1386"/>
    <w:rsid w:val="00B10CFC"/>
    <w:rsid w:val="00B11880"/>
    <w:rsid w:val="00B1685C"/>
    <w:rsid w:val="00B64DFF"/>
    <w:rsid w:val="00B70C67"/>
    <w:rsid w:val="00B94DE3"/>
    <w:rsid w:val="00B97BBF"/>
    <w:rsid w:val="00BA5B50"/>
    <w:rsid w:val="00BC4D18"/>
    <w:rsid w:val="00BC7DA7"/>
    <w:rsid w:val="00BD5BEC"/>
    <w:rsid w:val="00BE65E3"/>
    <w:rsid w:val="00C1119D"/>
    <w:rsid w:val="00C15C0C"/>
    <w:rsid w:val="00C22782"/>
    <w:rsid w:val="00C467F0"/>
    <w:rsid w:val="00C70610"/>
    <w:rsid w:val="00CC0584"/>
    <w:rsid w:val="00CE5427"/>
    <w:rsid w:val="00D163ED"/>
    <w:rsid w:val="00D24BE8"/>
    <w:rsid w:val="00D439B8"/>
    <w:rsid w:val="00D53185"/>
    <w:rsid w:val="00D545CD"/>
    <w:rsid w:val="00D57F06"/>
    <w:rsid w:val="00E153A9"/>
    <w:rsid w:val="00E6352A"/>
    <w:rsid w:val="00E821C1"/>
    <w:rsid w:val="00E95262"/>
    <w:rsid w:val="00EA3F53"/>
    <w:rsid w:val="00EB4348"/>
    <w:rsid w:val="00ED31E7"/>
    <w:rsid w:val="00F13CE7"/>
    <w:rsid w:val="00F21D1C"/>
    <w:rsid w:val="00F326E6"/>
    <w:rsid w:val="00FA7E6E"/>
    <w:rsid w:val="00FC2A34"/>
    <w:rsid w:val="00FD04AE"/>
    <w:rsid w:val="00FD792A"/>
    <w:rsid w:val="00FF0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212CA8"/>
  <w15:chartTrackingRefBased/>
  <w15:docId w15:val="{F41DDE93-6F1F-43CF-A480-6E4533848D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97B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97BBF"/>
  </w:style>
  <w:style w:type="paragraph" w:styleId="a5">
    <w:name w:val="footer"/>
    <w:basedOn w:val="a"/>
    <w:link w:val="a6"/>
    <w:uiPriority w:val="99"/>
    <w:unhideWhenUsed/>
    <w:rsid w:val="00B97B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97BBF"/>
  </w:style>
  <w:style w:type="paragraph" w:styleId="a7">
    <w:name w:val="Balloon Text"/>
    <w:basedOn w:val="a"/>
    <w:link w:val="a8"/>
    <w:uiPriority w:val="99"/>
    <w:semiHidden/>
    <w:unhideWhenUsed/>
    <w:rsid w:val="00D531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53185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0D6CE4"/>
    <w:pPr>
      <w:ind w:left="720"/>
      <w:contextualSpacing/>
    </w:pPr>
  </w:style>
  <w:style w:type="paragraph" w:customStyle="1" w:styleId="ConsPlusNormal">
    <w:name w:val="ConsPlusNormal"/>
    <w:rsid w:val="00FC2A3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TableGrid">
    <w:name w:val="TableGrid"/>
    <w:rsid w:val="00997D34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D58F57-F548-46A4-B24E-F807F84B51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362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Цыплакова Валентина Георгиевна</dc:creator>
  <cp:keywords/>
  <dc:description/>
  <cp:lastModifiedBy>Шутова Кристина Владимировна</cp:lastModifiedBy>
  <cp:revision>3</cp:revision>
  <cp:lastPrinted>2022-10-26T02:00:00Z</cp:lastPrinted>
  <dcterms:created xsi:type="dcterms:W3CDTF">2023-04-13T03:39:00Z</dcterms:created>
  <dcterms:modified xsi:type="dcterms:W3CDTF">2023-04-17T00:11:00Z</dcterms:modified>
</cp:coreProperties>
</file>